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46" w:rsidRPr="00CF0346" w:rsidRDefault="00CF0346" w:rsidP="008C155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fr-CH" w:eastAsia="de-CH"/>
        </w:rPr>
      </w:pPr>
      <w:bookmarkStart w:id="0" w:name="_GoBack"/>
      <w:bookmarkEnd w:id="0"/>
    </w:p>
    <w:p w:rsidR="008C155B" w:rsidRPr="00CF0346" w:rsidRDefault="008C155B" w:rsidP="00CF034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fr-CH" w:eastAsia="de-CH"/>
        </w:rPr>
      </w:pPr>
      <w:r w:rsidRPr="00CF0346">
        <w:rPr>
          <w:rFonts w:ascii="Arial" w:eastAsia="Times New Roman" w:hAnsi="Arial" w:cs="Arial"/>
          <w:b/>
          <w:sz w:val="24"/>
          <w:szCs w:val="24"/>
          <w:lang w:val="fr-CH" w:eastAsia="de-CH"/>
        </w:rPr>
        <w:t>Ateliers de formations aux premiers soins communautaires pour les membres du Comité Local de la Protection Civile (CLPC) et les membres de L`équipe d’intervention communautaires(EIC).</w:t>
      </w:r>
    </w:p>
    <w:p w:rsidR="00CF0346" w:rsidRPr="00CF0346" w:rsidRDefault="00CF0346" w:rsidP="00CF0346">
      <w:pPr>
        <w:jc w:val="center"/>
        <w:rPr>
          <w:rFonts w:ascii="Arial" w:hAnsi="Arial" w:cs="Arial"/>
          <w:sz w:val="24"/>
          <w:szCs w:val="24"/>
          <w:u w:val="single"/>
          <w:lang w:val="fr-CH"/>
        </w:rPr>
      </w:pPr>
      <w:proofErr w:type="spellStart"/>
      <w:r w:rsidRPr="00CF0346">
        <w:rPr>
          <w:rFonts w:ascii="Arial" w:hAnsi="Arial" w:cs="Arial"/>
          <w:sz w:val="24"/>
          <w:szCs w:val="24"/>
          <w:u w:val="single"/>
          <w:lang w:val="fr-CH"/>
        </w:rPr>
        <w:t>Pre</w:t>
      </w:r>
      <w:proofErr w:type="spellEnd"/>
      <w:r w:rsidRPr="00CF0346">
        <w:rPr>
          <w:rFonts w:ascii="Arial" w:hAnsi="Arial" w:cs="Arial"/>
          <w:sz w:val="24"/>
          <w:szCs w:val="24"/>
          <w:u w:val="single"/>
          <w:lang w:val="fr-CH"/>
        </w:rPr>
        <w:t xml:space="preserve"> </w:t>
      </w:r>
      <w:proofErr w:type="spellStart"/>
      <w:r w:rsidRPr="00CF0346">
        <w:rPr>
          <w:rFonts w:ascii="Arial" w:hAnsi="Arial" w:cs="Arial"/>
          <w:sz w:val="24"/>
          <w:szCs w:val="24"/>
          <w:u w:val="single"/>
          <w:lang w:val="fr-CH"/>
        </w:rPr>
        <w:t>tès</w:t>
      </w:r>
      <w:proofErr w:type="spellEnd"/>
    </w:p>
    <w:p w:rsidR="00F74CA5" w:rsidRPr="00CF0346" w:rsidRDefault="008C155B" w:rsidP="00CF0346">
      <w:pPr>
        <w:jc w:val="center"/>
        <w:rPr>
          <w:rFonts w:ascii="Arial" w:hAnsi="Arial" w:cs="Arial"/>
          <w:sz w:val="24"/>
          <w:szCs w:val="24"/>
          <w:lang w:val="fr-CH"/>
        </w:rPr>
      </w:pPr>
      <w:r w:rsidRPr="00CF0346">
        <w:rPr>
          <w:rFonts w:ascii="Arial" w:hAnsi="Arial" w:cs="Arial"/>
          <w:sz w:val="24"/>
          <w:szCs w:val="24"/>
          <w:lang w:val="fr-CH"/>
        </w:rPr>
        <w:t xml:space="preserve">Commune : </w:t>
      </w:r>
      <w:r w:rsidRPr="00CF0346">
        <w:rPr>
          <w:rFonts w:ascii="Arial" w:hAnsi="Arial" w:cs="Arial"/>
          <w:sz w:val="24"/>
          <w:szCs w:val="24"/>
          <w:lang w:val="fr-CH"/>
        </w:rPr>
        <w:tab/>
      </w:r>
      <w:r w:rsidRPr="00CF0346">
        <w:rPr>
          <w:rFonts w:ascii="Arial" w:hAnsi="Arial" w:cs="Arial"/>
          <w:sz w:val="24"/>
          <w:szCs w:val="24"/>
          <w:lang w:val="fr-CH"/>
        </w:rPr>
        <w:tab/>
      </w:r>
      <w:r w:rsidRPr="00CF0346">
        <w:rPr>
          <w:rFonts w:ascii="Arial" w:hAnsi="Arial" w:cs="Arial"/>
          <w:sz w:val="24"/>
          <w:szCs w:val="24"/>
          <w:lang w:val="fr-CH"/>
        </w:rPr>
        <w:tab/>
        <w:t>Section Communal</w:t>
      </w:r>
      <w:r w:rsidR="00CF0346" w:rsidRPr="00CF0346">
        <w:rPr>
          <w:rFonts w:ascii="Arial" w:hAnsi="Arial" w:cs="Arial"/>
          <w:sz w:val="24"/>
          <w:szCs w:val="24"/>
          <w:lang w:val="fr-CH"/>
        </w:rPr>
        <w:t> :</w:t>
      </w:r>
      <w:r w:rsidRPr="00CF0346">
        <w:rPr>
          <w:rFonts w:ascii="Arial" w:hAnsi="Arial" w:cs="Arial"/>
          <w:sz w:val="24"/>
          <w:szCs w:val="24"/>
          <w:lang w:val="fr-CH"/>
        </w:rPr>
        <w:tab/>
      </w:r>
      <w:r w:rsidRPr="00CF0346">
        <w:rPr>
          <w:rFonts w:ascii="Arial" w:hAnsi="Arial" w:cs="Arial"/>
          <w:sz w:val="24"/>
          <w:szCs w:val="24"/>
          <w:lang w:val="fr-CH"/>
        </w:rPr>
        <w:tab/>
      </w:r>
      <w:r w:rsidRPr="00CF0346">
        <w:rPr>
          <w:rFonts w:ascii="Arial" w:hAnsi="Arial" w:cs="Arial"/>
          <w:sz w:val="24"/>
          <w:szCs w:val="24"/>
          <w:lang w:val="fr-CH"/>
        </w:rPr>
        <w:tab/>
        <w:t>Localité :</w:t>
      </w:r>
      <w:r w:rsidR="00F74CA5" w:rsidRPr="00CF0346">
        <w:rPr>
          <w:rFonts w:ascii="Arial" w:hAnsi="Arial" w:cs="Arial"/>
          <w:lang w:val="fr-CH"/>
        </w:rPr>
        <w:t xml:space="preserve">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3"/>
        <w:gridCol w:w="8268"/>
        <w:gridCol w:w="783"/>
        <w:gridCol w:w="916"/>
      </w:tblGrid>
      <w:tr w:rsidR="00F74CA5" w:rsidRPr="00CF0346" w:rsidTr="00CF0346">
        <w:tc>
          <w:tcPr>
            <w:tcW w:w="498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No</w:t>
            </w:r>
          </w:p>
        </w:tc>
        <w:tc>
          <w:tcPr>
            <w:tcW w:w="8291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Thyeke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vre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pa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vre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pou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chak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kessyon</w:t>
            </w:r>
            <w:proofErr w:type="spellEnd"/>
          </w:p>
        </w:tc>
        <w:tc>
          <w:tcPr>
            <w:tcW w:w="784" w:type="dxa"/>
            <w:shd w:val="clear" w:color="auto" w:fill="00B050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Vre</w:t>
            </w:r>
            <w:proofErr w:type="spellEnd"/>
          </w:p>
        </w:tc>
        <w:tc>
          <w:tcPr>
            <w:tcW w:w="917" w:type="dxa"/>
            <w:shd w:val="clear" w:color="auto" w:fill="FF0000"/>
          </w:tcPr>
          <w:p w:rsidR="00F74CA5" w:rsidRPr="00CF0346" w:rsidRDefault="00F74CA5" w:rsidP="00CF0346">
            <w:pPr>
              <w:jc w:val="center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Se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pa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vre</w:t>
            </w:r>
            <w:proofErr w:type="spellEnd"/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1</w:t>
            </w:r>
          </w:p>
        </w:tc>
        <w:tc>
          <w:tcPr>
            <w:tcW w:w="8291" w:type="dxa"/>
          </w:tcPr>
          <w:p w:rsidR="00F74CA5" w:rsidRPr="00CF0346" w:rsidRDefault="00F74CA5" w:rsidP="00CF034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Si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boule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nou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ka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mete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grès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pomad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oubyen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lwil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kafe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Dantifris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sou li pou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ede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geri</w:t>
            </w:r>
            <w:proofErr w:type="spellEnd"/>
          </w:p>
          <w:p w:rsidR="00CF0346" w:rsidRPr="00CF0346" w:rsidRDefault="00CF0346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84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x</w:t>
            </w: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2</w:t>
            </w:r>
          </w:p>
        </w:tc>
        <w:tc>
          <w:tcPr>
            <w:tcW w:w="8291" w:type="dxa"/>
          </w:tcPr>
          <w:p w:rsidR="00F74CA5" w:rsidRPr="00CF0346" w:rsidRDefault="00F74CA5" w:rsidP="00CF034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Nan ka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ki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gen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malkadi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106ADB" w:rsidRPr="00CF0346">
              <w:rPr>
                <w:rFonts w:ascii="Arial" w:hAnsi="Arial" w:cs="Arial"/>
                <w:sz w:val="24"/>
                <w:szCs w:val="24"/>
                <w:lang w:val="fr-CH"/>
              </w:rPr>
              <w:t>nou</w:t>
            </w:r>
            <w:proofErr w:type="spellEnd"/>
            <w:r w:rsidR="00106ADB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dwe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eseye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anpeche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gram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l’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jigote</w:t>
            </w:r>
            <w:proofErr w:type="spellEnd"/>
            <w:proofErr w:type="gram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,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kenbe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l’, antre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dwet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nan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bouch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li pou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netwayel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.</w:t>
            </w:r>
          </w:p>
          <w:p w:rsidR="00CF0346" w:rsidRPr="00CF0346" w:rsidRDefault="00CF0346" w:rsidP="00CF034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84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x</w:t>
            </w: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3</w:t>
            </w:r>
          </w:p>
        </w:tc>
        <w:tc>
          <w:tcPr>
            <w:tcW w:w="8291" w:type="dxa"/>
          </w:tcPr>
          <w:p w:rsidR="00F74CA5" w:rsidRPr="00CF0346" w:rsidRDefault="00F74CA5" w:rsidP="00CF0346">
            <w:pPr>
              <w:jc w:val="both"/>
              <w:rPr>
                <w:rFonts w:ascii="Arial" w:hAnsi="Arial" w:cs="Arial"/>
                <w:sz w:val="24"/>
                <w:szCs w:val="24"/>
                <w:lang w:val="fr-CH"/>
              </w:rPr>
            </w:pP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Lè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endispoze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fok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nou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dwe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fè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aksyon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sa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yo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 :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tcheke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nan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ap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respire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epi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si pou li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ap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bat</w:t>
            </w:r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,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Leve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ti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kras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janm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li,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pandan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gram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l’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toujou</w:t>
            </w:r>
            <w:proofErr w:type="spellEnd"/>
            <w:proofErr w:type="gram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ret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kouche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(si l’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pa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gen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lezyon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nan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tèt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, nan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lestomak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oubyen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nan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janm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,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lè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li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retabli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, kite l’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kouche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dwat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pandan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l’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ap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respire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lantman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ak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pwofondeman</w:t>
            </w:r>
            <w:proofErr w:type="spellEnd"/>
            <w:r w:rsidR="00850B49" w:rsidRPr="00CF0346">
              <w:rPr>
                <w:rFonts w:ascii="Arial" w:hAnsi="Arial" w:cs="Arial"/>
                <w:sz w:val="24"/>
                <w:szCs w:val="24"/>
                <w:lang w:val="fr-CH"/>
              </w:rPr>
              <w:t>.</w:t>
            </w:r>
          </w:p>
          <w:p w:rsidR="00CF0346" w:rsidRPr="00CF0346" w:rsidRDefault="00CF0346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84" w:type="dxa"/>
          </w:tcPr>
          <w:p w:rsidR="00F74CA5" w:rsidRPr="00CF0346" w:rsidRDefault="00850B49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x</w:t>
            </w: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4</w:t>
            </w:r>
          </w:p>
        </w:tc>
        <w:tc>
          <w:tcPr>
            <w:tcW w:w="8291" w:type="dxa"/>
          </w:tcPr>
          <w:p w:rsidR="00F74CA5" w:rsidRPr="00CF0346" w:rsidRDefault="00850B49" w:rsidP="00CF0346">
            <w:pPr>
              <w:jc w:val="both"/>
              <w:rPr>
                <w:rFonts w:ascii="Arial" w:hAnsi="Arial" w:cs="Arial"/>
                <w:sz w:val="24"/>
                <w:szCs w:val="24"/>
                <w:lang w:val="it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Pou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bloke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emoraji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a,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mete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moso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twal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pwòp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oubyen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twal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gaz (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pansman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) sou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blesi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a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epi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peze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l’. </w:t>
            </w: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Mete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bandaj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epi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mare li.</w:t>
            </w:r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Menm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si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emoraji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a </w:t>
            </w:r>
            <w:proofErr w:type="spellStart"/>
            <w:proofErr w:type="gram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kontinye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nou</w:t>
            </w:r>
            <w:proofErr w:type="spellEnd"/>
            <w:proofErr w:type="gram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pa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bezwen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menenl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nan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>sant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sante.</w:t>
            </w:r>
          </w:p>
          <w:p w:rsidR="00CF0346" w:rsidRPr="00CF0346" w:rsidRDefault="00CF0346" w:rsidP="005F00FD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</w:p>
        </w:tc>
        <w:tc>
          <w:tcPr>
            <w:tcW w:w="784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</w:p>
        </w:tc>
        <w:tc>
          <w:tcPr>
            <w:tcW w:w="917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x</w:t>
            </w: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5</w:t>
            </w:r>
          </w:p>
        </w:tc>
        <w:tc>
          <w:tcPr>
            <w:tcW w:w="8291" w:type="dxa"/>
          </w:tcPr>
          <w:p w:rsidR="00F74CA5" w:rsidRPr="00CF0346" w:rsidRDefault="005F00FD" w:rsidP="00CF0346">
            <w:pPr>
              <w:jc w:val="both"/>
              <w:rPr>
                <w:rFonts w:ascii="Arial" w:hAnsi="Arial" w:cs="Arial"/>
                <w:sz w:val="24"/>
                <w:szCs w:val="24"/>
                <w:lang w:val="it-CH"/>
              </w:rPr>
            </w:pP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Bou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defini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Premye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proofErr w:type="gram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swen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,</w:t>
            </w:r>
            <w:proofErr w:type="gram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kome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swen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imedya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ak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tanporè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yo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bay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souplas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viktim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aksidan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oubyen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maladi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sibit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,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pou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prevni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konplikasyon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,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soulaje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soufrans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epi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sove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lavi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yo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pandan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y’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ap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tann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èd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medikal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apwopriye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.</w:t>
            </w:r>
          </w:p>
          <w:p w:rsidR="00CF0346" w:rsidRPr="00CF0346" w:rsidRDefault="00CF0346" w:rsidP="005F00FD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</w:p>
        </w:tc>
        <w:tc>
          <w:tcPr>
            <w:tcW w:w="784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x</w:t>
            </w: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6</w:t>
            </w:r>
          </w:p>
        </w:tc>
        <w:tc>
          <w:tcPr>
            <w:tcW w:w="8291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VIH se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viris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ki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lakòz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sida a. Li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atake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sistèm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defans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kò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a, li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rann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li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fèb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;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lè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sa rive,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sistèm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defans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lan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pa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ka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pwoteje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nou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ankò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kont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maladi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.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ki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enfekte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avèk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VIH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oubyen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ki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gen sida, yo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rele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yo “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k’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ap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viv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ak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VIH/SIDA (MVVS)”.</w:t>
            </w:r>
          </w:p>
          <w:p w:rsidR="00CF0346" w:rsidRPr="00CF0346" w:rsidRDefault="00CF0346" w:rsidP="00F74C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84" w:type="dxa"/>
          </w:tcPr>
          <w:p w:rsidR="00F74CA5" w:rsidRPr="00CF0346" w:rsidRDefault="005F00FD" w:rsidP="00F74C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x</w:t>
            </w: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8291" w:type="dxa"/>
          </w:tcPr>
          <w:p w:rsidR="00F74CA5" w:rsidRPr="00CF0346" w:rsidRDefault="003F1B7A" w:rsidP="003F1B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yare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se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matyè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fekal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moun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jete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plis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pase 3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fwa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>nan</w:t>
            </w:r>
            <w:proofErr w:type="spellEnd"/>
            <w:r w:rsidR="005F00FD" w:rsidRPr="00CF0346">
              <w:rPr>
                <w:rFonts w:ascii="Arial" w:hAnsi="Arial" w:cs="Arial"/>
                <w:sz w:val="24"/>
                <w:szCs w:val="24"/>
                <w:lang w:val="es-ES"/>
              </w:rPr>
              <w:t xml:space="preserve"> 24 è.</w:t>
            </w:r>
          </w:p>
          <w:p w:rsidR="00CF0346" w:rsidRPr="00CF0346" w:rsidRDefault="00CF0346" w:rsidP="003F1B7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84" w:type="dxa"/>
          </w:tcPr>
          <w:p w:rsidR="00F74CA5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x</w:t>
            </w: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F74CA5" w:rsidRPr="00CF0346" w:rsidTr="00CF0346">
        <w:tc>
          <w:tcPr>
            <w:tcW w:w="498" w:type="dxa"/>
          </w:tcPr>
          <w:p w:rsidR="00F74CA5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8</w:t>
            </w:r>
          </w:p>
        </w:tc>
        <w:tc>
          <w:tcPr>
            <w:tcW w:w="8291" w:type="dxa"/>
          </w:tcPr>
          <w:p w:rsidR="00F74CA5" w:rsidRPr="00CF0346" w:rsidRDefault="003F1B7A" w:rsidP="003F1B7A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Lè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nan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gen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dyare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bal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bwè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anpil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dlo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pwòp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oubyen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lòt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bwason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san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alkòl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.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Ba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li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sewòm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oral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si w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genyen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ti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pake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yo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,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oubyen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prepare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gram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l’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lakay</w:t>
            </w:r>
            <w:proofErr w:type="spellEnd"/>
            <w:proofErr w:type="gram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ou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menm</w:t>
            </w:r>
            <w:proofErr w:type="spellEnd"/>
          </w:p>
          <w:p w:rsidR="00CF0346" w:rsidRPr="00CF0346" w:rsidRDefault="00CF0346" w:rsidP="003F1B7A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</w:p>
        </w:tc>
        <w:tc>
          <w:tcPr>
            <w:tcW w:w="784" w:type="dxa"/>
          </w:tcPr>
          <w:p w:rsidR="00F74CA5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it-CH"/>
              </w:rPr>
              <w:t>x</w:t>
            </w:r>
          </w:p>
        </w:tc>
        <w:tc>
          <w:tcPr>
            <w:tcW w:w="917" w:type="dxa"/>
          </w:tcPr>
          <w:p w:rsidR="00F74CA5" w:rsidRPr="00CF0346" w:rsidRDefault="00F74CA5" w:rsidP="00F74CA5">
            <w:pPr>
              <w:rPr>
                <w:rFonts w:ascii="Arial" w:hAnsi="Arial" w:cs="Arial"/>
                <w:sz w:val="24"/>
                <w:szCs w:val="24"/>
                <w:lang w:val="it-CH"/>
              </w:rPr>
            </w:pPr>
          </w:p>
        </w:tc>
      </w:tr>
      <w:tr w:rsidR="003F1B7A" w:rsidRPr="00CF0346" w:rsidTr="00CF0346">
        <w:tc>
          <w:tcPr>
            <w:tcW w:w="498" w:type="dxa"/>
          </w:tcPr>
          <w:p w:rsidR="003F1B7A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9</w:t>
            </w:r>
          </w:p>
        </w:tc>
        <w:tc>
          <w:tcPr>
            <w:tcW w:w="8291" w:type="dxa"/>
          </w:tcPr>
          <w:p w:rsidR="003F1B7A" w:rsidRPr="00CF0346" w:rsidRDefault="003F1B7A" w:rsidP="003F1B7A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Genyen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plizyè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tip de </w:t>
            </w:r>
            <w:proofErr w:type="gram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boule ,boule</w:t>
            </w:r>
            <w:proofErr w:type="gram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premye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degre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, boule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dezyèm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degre,boule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twazyèm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ak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katryèm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degre</w:t>
            </w:r>
            <w:proofErr w:type="spellEnd"/>
          </w:p>
          <w:p w:rsidR="00CF0346" w:rsidRPr="00CF0346" w:rsidRDefault="00CF0346" w:rsidP="003F1B7A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84" w:type="dxa"/>
          </w:tcPr>
          <w:p w:rsidR="003F1B7A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x</w:t>
            </w:r>
          </w:p>
        </w:tc>
        <w:tc>
          <w:tcPr>
            <w:tcW w:w="917" w:type="dxa"/>
          </w:tcPr>
          <w:p w:rsidR="003F1B7A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3F1B7A" w:rsidRPr="00CF0346" w:rsidTr="00CF0346">
        <w:tc>
          <w:tcPr>
            <w:tcW w:w="498" w:type="dxa"/>
          </w:tcPr>
          <w:p w:rsidR="003F1B7A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10</w:t>
            </w:r>
          </w:p>
        </w:tc>
        <w:tc>
          <w:tcPr>
            <w:tcW w:w="8291" w:type="dxa"/>
          </w:tcPr>
          <w:p w:rsidR="003F1B7A" w:rsidRPr="00CF0346" w:rsidRDefault="00352ACE" w:rsidP="00352ACE">
            <w:pPr>
              <w:rPr>
                <w:rFonts w:ascii="Arial" w:hAnsi="Arial" w:cs="Arial"/>
                <w:sz w:val="24"/>
                <w:szCs w:val="24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Si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sèpan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mode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moun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ou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dwe</w:t>
            </w:r>
            <w:proofErr w:type="spellEnd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d</w:t>
            </w:r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esere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oubyen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retire rad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ki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kapab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sere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gram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l’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sizoka</w:t>
            </w:r>
            <w:proofErr w:type="spellEnd"/>
            <w:proofErr w:type="gram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zòn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mòde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a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ap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anfle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. Chèche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imobilize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manm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mòde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a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epi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eseye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kenbe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gram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l’ nan</w:t>
            </w:r>
            <w:proofErr w:type="gram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yon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nivo pi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ba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rès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kò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 a si l’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>posib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  <w:lang w:val="fr-CH"/>
              </w:rPr>
              <w:t xml:space="preserve">.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Mennen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li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nan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ijans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nan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sant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sante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ki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pi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1B7A" w:rsidRPr="00CF0346">
              <w:rPr>
                <w:rFonts w:ascii="Arial" w:hAnsi="Arial" w:cs="Arial"/>
                <w:sz w:val="24"/>
                <w:szCs w:val="24"/>
              </w:rPr>
              <w:t>pre</w:t>
            </w:r>
            <w:proofErr w:type="spellEnd"/>
            <w:r w:rsidR="003F1B7A" w:rsidRPr="00CF0346">
              <w:rPr>
                <w:rFonts w:ascii="Arial" w:hAnsi="Arial" w:cs="Arial"/>
                <w:sz w:val="24"/>
                <w:szCs w:val="24"/>
              </w:rPr>
              <w:t xml:space="preserve"> a.</w:t>
            </w:r>
          </w:p>
          <w:p w:rsidR="00CF0346" w:rsidRPr="00CF0346" w:rsidRDefault="00CF0346" w:rsidP="00352ACE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784" w:type="dxa"/>
          </w:tcPr>
          <w:p w:rsidR="003F1B7A" w:rsidRPr="00CF0346" w:rsidRDefault="00352ACE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CF0346">
              <w:rPr>
                <w:rFonts w:ascii="Arial" w:hAnsi="Arial" w:cs="Arial"/>
                <w:sz w:val="24"/>
                <w:szCs w:val="24"/>
                <w:lang w:val="fr-CH"/>
              </w:rPr>
              <w:t>x</w:t>
            </w:r>
          </w:p>
        </w:tc>
        <w:tc>
          <w:tcPr>
            <w:tcW w:w="917" w:type="dxa"/>
          </w:tcPr>
          <w:p w:rsidR="003F1B7A" w:rsidRPr="00CF0346" w:rsidRDefault="003F1B7A" w:rsidP="00F74CA5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:rsidR="00B70DCB" w:rsidRPr="00CF0346" w:rsidRDefault="008C155B" w:rsidP="00F74CA5">
      <w:pPr>
        <w:rPr>
          <w:rFonts w:ascii="Arial" w:hAnsi="Arial" w:cs="Arial"/>
          <w:lang w:val="fr-CH"/>
        </w:rPr>
      </w:pP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  <w:r w:rsidRPr="00CF0346">
        <w:rPr>
          <w:rFonts w:ascii="Arial" w:hAnsi="Arial" w:cs="Arial"/>
          <w:lang w:val="fr-CH"/>
        </w:rPr>
        <w:tab/>
      </w:r>
    </w:p>
    <w:sectPr w:rsidR="00B70DCB" w:rsidRPr="00CF03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5B" w:rsidRDefault="008C155B" w:rsidP="008C155B">
      <w:pPr>
        <w:spacing w:after="0" w:line="240" w:lineRule="auto"/>
      </w:pPr>
      <w:r>
        <w:separator/>
      </w:r>
    </w:p>
  </w:endnote>
  <w:endnote w:type="continuationSeparator" w:id="0">
    <w:p w:rsidR="008C155B" w:rsidRDefault="008C155B" w:rsidP="008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5B" w:rsidRDefault="008C155B" w:rsidP="008C155B">
      <w:pPr>
        <w:spacing w:after="0" w:line="240" w:lineRule="auto"/>
      </w:pPr>
      <w:r>
        <w:separator/>
      </w:r>
    </w:p>
  </w:footnote>
  <w:footnote w:type="continuationSeparator" w:id="0">
    <w:p w:rsidR="008C155B" w:rsidRDefault="008C155B" w:rsidP="008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5B" w:rsidRDefault="008C155B" w:rsidP="008C155B">
    <w:pPr>
      <w:pStyle w:val="Header"/>
      <w:rPr>
        <w:lang w:val="fr-CH"/>
      </w:rPr>
    </w:pPr>
    <w:r>
      <w:rPr>
        <w:rFonts w:cs="Arial"/>
        <w:b/>
        <w:bCs/>
        <w:color w:val="000000"/>
        <w:szCs w:val="15"/>
        <w:lang w:val="fr-FR" w:eastAsia="ko-KR"/>
      </w:rPr>
      <w:tab/>
    </w:r>
    <w:r>
      <w:rPr>
        <w:rFonts w:cs="Arial"/>
        <w:b/>
        <w:bCs/>
        <w:color w:val="000000"/>
        <w:szCs w:val="15"/>
        <w:lang w:val="fr-FR" w:eastAsia="ko-KR"/>
      </w:rPr>
      <w:tab/>
      <w:t>Ambassade de Suisse en République d’</w:t>
    </w:r>
    <w:r w:rsidRPr="00FC672D">
      <w:rPr>
        <w:rFonts w:cs="Arial"/>
        <w:b/>
        <w:bCs/>
        <w:color w:val="000000"/>
        <w:szCs w:val="15"/>
        <w:lang w:val="fr-FR" w:eastAsia="ko-KR"/>
      </w:rPr>
      <w:t xml:space="preserve">Haïti </w:t>
    </w:r>
  </w:p>
  <w:p w:rsidR="008C155B" w:rsidRPr="008C155B" w:rsidRDefault="008C155B" w:rsidP="008C155B">
    <w:pPr>
      <w:pStyle w:val="Header"/>
      <w:rPr>
        <w:lang w:val="fr-CH"/>
      </w:rPr>
    </w:pPr>
    <w:r>
      <w:rPr>
        <w:sz w:val="15"/>
        <w:szCs w:val="15"/>
        <w:lang w:val="fr-CH"/>
      </w:rPr>
      <w:tab/>
      <w:t xml:space="preserve">                                                                                       Bureau Projet Direct de Port-Salut</w:t>
    </w:r>
    <w:r w:rsidRPr="008C155B">
      <w:rPr>
        <w:lang w:val="fr-CH"/>
      </w:rPr>
      <w:t xml:space="preserve"> </w: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B28F8B6" wp14:editId="7DDA4E5B">
          <wp:simplePos x="0" y="0"/>
          <wp:positionH relativeFrom="column">
            <wp:posOffset>-730250</wp:posOffset>
          </wp:positionH>
          <wp:positionV relativeFrom="paragraph">
            <wp:posOffset>-356235</wp:posOffset>
          </wp:positionV>
          <wp:extent cx="1981200" cy="485775"/>
          <wp:effectExtent l="0" t="0" r="0" b="9525"/>
          <wp:wrapSquare wrapText="bothSides"/>
          <wp:docPr id="1" name="Picture 1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5B"/>
    <w:rsid w:val="000758E5"/>
    <w:rsid w:val="00085958"/>
    <w:rsid w:val="00106ADB"/>
    <w:rsid w:val="00352ACE"/>
    <w:rsid w:val="003F1B7A"/>
    <w:rsid w:val="005F00FD"/>
    <w:rsid w:val="00850B49"/>
    <w:rsid w:val="008C155B"/>
    <w:rsid w:val="00B70DCB"/>
    <w:rsid w:val="00CF0346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B0D28-E630-4B2E-9A72-97510756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5B"/>
  </w:style>
  <w:style w:type="paragraph" w:styleId="Footer">
    <w:name w:val="footer"/>
    <w:basedOn w:val="Normal"/>
    <w:link w:val="FooterChar"/>
    <w:uiPriority w:val="99"/>
    <w:unhideWhenUsed/>
    <w:rsid w:val="008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55B"/>
  </w:style>
  <w:style w:type="table" w:styleId="TableGrid">
    <w:name w:val="Table Grid"/>
    <w:basedOn w:val="TableNormal"/>
    <w:uiPriority w:val="39"/>
    <w:rsid w:val="00F7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Junior</dc:creator>
  <cp:keywords/>
  <dc:description/>
  <cp:lastModifiedBy>Franck Junior</cp:lastModifiedBy>
  <cp:revision>2</cp:revision>
  <cp:lastPrinted>2022-05-02T15:10:00Z</cp:lastPrinted>
  <dcterms:created xsi:type="dcterms:W3CDTF">2024-05-28T11:38:00Z</dcterms:created>
  <dcterms:modified xsi:type="dcterms:W3CDTF">2024-05-28T11:38:00Z</dcterms:modified>
</cp:coreProperties>
</file>